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C1" w:rsidRPr="00053BC1" w:rsidRDefault="00053BC1" w:rsidP="00053BC1">
      <w:pPr>
        <w:shd w:val="clear" w:color="auto" w:fill="FFFFFF"/>
        <w:spacing w:after="107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053BC1">
        <w:rPr>
          <w:rFonts w:ascii="Arial" w:eastAsia="Times New Roman" w:hAnsi="Arial" w:cs="Arial"/>
          <w:b/>
          <w:bCs/>
          <w:color w:val="000000"/>
          <w:sz w:val="17"/>
          <w:szCs w:val="17"/>
        </w:rPr>
        <w:t>Наименования показателей бюджетной сметы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на 2022год</w:t>
      </w:r>
    </w:p>
    <w:p w:rsidR="00053BC1" w:rsidRPr="00053BC1" w:rsidRDefault="00053BC1" w:rsidP="00053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100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6"/>
        <w:gridCol w:w="1228"/>
        <w:gridCol w:w="571"/>
        <w:gridCol w:w="806"/>
        <w:gridCol w:w="939"/>
        <w:gridCol w:w="746"/>
        <w:gridCol w:w="513"/>
      </w:tblGrid>
      <w:tr w:rsidR="00053BC1" w:rsidRPr="00053BC1" w:rsidTr="00053BC1">
        <w:trPr>
          <w:tblHeader/>
        </w:trPr>
        <w:tc>
          <w:tcPr>
            <w:tcW w:w="5206" w:type="dxa"/>
            <w:vMerge w:val="restart"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0094AB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0094AB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  <w:t>Наименование бюджета</w:t>
            </w:r>
          </w:p>
        </w:tc>
        <w:tc>
          <w:tcPr>
            <w:tcW w:w="3062" w:type="dxa"/>
            <w:gridSpan w:val="4"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0094AB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  <w:t>Код по бюджетной классификации РФ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0094AB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  <w:t>Сумма, руб.</w:t>
            </w:r>
          </w:p>
        </w:tc>
      </w:tr>
      <w:tr w:rsidR="00053BC1" w:rsidRPr="00053BC1" w:rsidTr="00053BC1">
        <w:trPr>
          <w:tblHeader/>
        </w:trPr>
        <w:tc>
          <w:tcPr>
            <w:tcW w:w="5206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A9C3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A9C3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  <w:t>Подраздел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A9C3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</w:pPr>
            <w:r w:rsidRPr="00053BC1">
              <w:rPr>
                <w:rFonts w:ascii="Roboto" w:eastAsia="Times New Roman" w:hAnsi="Roboto" w:cs="Times New Roman"/>
                <w:color w:val="FFFFFF"/>
                <w:sz w:val="14"/>
                <w:szCs w:val="14"/>
              </w:rPr>
              <w:t>Вид расходов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15"/>
                <w:szCs w:val="15"/>
              </w:rPr>
            </w:pP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0110008530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244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27 500,00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Средства на финансовое обеспечение (возмещение) расходных обязательств, связанных с увеличением с 1 июня 2022 года региональных выплат в рамках подпрограммы "Развитие дошкольного, общего и дополнительного образования детей 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0110010340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110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531 800,00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 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0110027240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110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595 000,00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</w:t>
            </w: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рамках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0110074080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110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10 785 461,59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</w:t>
            </w: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рамках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0110074080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244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126 061,91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</w:t>
            </w: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рамках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подпрограммы "Развитие дошкольного, общего и дополнительного образования детей" муниципальной программы "Развитие образования Бирилюсского района 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0110075880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110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18 961 358,53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lastRenderedPageBreak/>
              <w:t>государственными образовательными стандартами в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</w:t>
            </w: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рамках</w:t>
            </w:r>
            <w:proofErr w:type="gram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подпрограммы "Развитие дошкольного, общего и дополнительного образования детей" муниципальной программы "Развитие образования Бирилюсского района 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lastRenderedPageBreak/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0110075880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244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255 321,40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0110080010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110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8 721 925,04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0110080010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244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5 242 098,17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0110080010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247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1 905 535,29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0110080010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853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30 301,99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Обеспечение деятельности (оказание услуг) казенных учреждений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0110085000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244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1 840 110,76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proofErr w:type="gram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Обеспечение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</w:t>
            </w:r>
            <w:proofErr w:type="spellStart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платыв</w:t>
            </w:r>
            <w:proofErr w:type="spellEnd"/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 xml:space="preserve"> рамках подпрограммы "Развитие дошкольного, общего и дополнительного образования детей" муниципальной программы "Развитие образования Бирилюсского района"</w:t>
            </w:r>
            <w:proofErr w:type="gramEnd"/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Бюджет Бирилюсского района</w:t>
            </w: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10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03</w:t>
            </w: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0110075540</w:t>
            </w: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244</w:t>
            </w: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sz w:val="15"/>
                <w:szCs w:val="15"/>
              </w:rPr>
              <w:t>25 703,13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Итого по коду БК (по коду раздела):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25 703,13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Итого по коду БК (по коду раздела):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07</w:t>
            </w: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49 022 474,68</w:t>
            </w:r>
          </w:p>
        </w:tc>
      </w:tr>
      <w:tr w:rsidR="00053BC1" w:rsidRPr="00053BC1" w:rsidTr="00053BC1">
        <w:tc>
          <w:tcPr>
            <w:tcW w:w="52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1228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939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746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sz w:val="15"/>
                <w:szCs w:val="15"/>
              </w:rPr>
            </w:pPr>
          </w:p>
        </w:tc>
        <w:tc>
          <w:tcPr>
            <w:tcW w:w="513" w:type="dxa"/>
            <w:tcBorders>
              <w:top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3BC1" w:rsidRPr="00053BC1" w:rsidRDefault="00053BC1" w:rsidP="00053BC1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</w:pPr>
            <w:r w:rsidRPr="00053BC1">
              <w:rPr>
                <w:rFonts w:ascii="Roboto" w:eastAsia="Times New Roman" w:hAnsi="Roboto" w:cs="Times New Roman"/>
                <w:b/>
                <w:bCs/>
                <w:sz w:val="15"/>
                <w:szCs w:val="15"/>
              </w:rPr>
              <w:t>49 048 177,81</w:t>
            </w:r>
          </w:p>
        </w:tc>
      </w:tr>
    </w:tbl>
    <w:p w:rsidR="00053BC1" w:rsidRPr="00053BC1" w:rsidRDefault="00053BC1" w:rsidP="00053BC1">
      <w:pPr>
        <w:shd w:val="clear" w:color="auto" w:fill="FFFFFF"/>
        <w:spacing w:after="0" w:line="279" w:lineRule="atLeast"/>
        <w:rPr>
          <w:rFonts w:ascii="Roboto" w:eastAsia="Times New Roman" w:hAnsi="Roboto" w:cs="Times New Roman"/>
          <w:color w:val="265FA6"/>
          <w:sz w:val="17"/>
          <w:szCs w:val="17"/>
        </w:rPr>
      </w:pPr>
      <w:r w:rsidRPr="00053BC1">
        <w:rPr>
          <w:rFonts w:ascii="Roboto" w:eastAsia="Times New Roman" w:hAnsi="Roboto" w:cs="Times New Roman"/>
          <w:color w:val="265FA6"/>
          <w:sz w:val="17"/>
          <w:szCs w:val="17"/>
        </w:rPr>
        <w:t>Документы (2)</w:t>
      </w:r>
    </w:p>
    <w:p w:rsidR="00CB0299" w:rsidRDefault="00CB0299"/>
    <w:sectPr w:rsidR="00CB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3BC1"/>
    <w:rsid w:val="00053BC1"/>
    <w:rsid w:val="00CB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930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9112">
                  <w:marLeft w:val="0"/>
                  <w:marRight w:val="0"/>
                  <w:marTop w:val="269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16189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766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265FA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2023-03-09T04:31:00Z</dcterms:created>
  <dcterms:modified xsi:type="dcterms:W3CDTF">2023-03-09T04:32:00Z</dcterms:modified>
</cp:coreProperties>
</file>